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2F34" w:rsidRDefault="00FA2F34" w:rsidP="00FA2F34">
      <w:pPr>
        <w:pStyle w:val="Standard"/>
        <w:spacing w:after="0" w:line="240" w:lineRule="auto"/>
        <w:jc w:val="both"/>
        <w:rPr>
          <w:rFonts w:ascii="Arial" w:hAnsi="Arial" w:cs="Arial"/>
          <w:b/>
          <w:sz w:val="44"/>
        </w:rPr>
      </w:pPr>
    </w:p>
    <w:p w:rsidR="0076507C" w:rsidRPr="00FA2F34" w:rsidRDefault="0076507C" w:rsidP="00FA2F34">
      <w:pPr>
        <w:pStyle w:val="Standard"/>
        <w:spacing w:after="0" w:line="240" w:lineRule="auto"/>
        <w:jc w:val="center"/>
        <w:rPr>
          <w:rFonts w:ascii="Gotham Narrow Ultra" w:hAnsi="Gotham Narrow Ultra" w:cs="Arial"/>
          <w:color w:val="808080" w:themeColor="background1" w:themeShade="80"/>
          <w:sz w:val="56"/>
          <w:szCs w:val="56"/>
        </w:rPr>
      </w:pPr>
      <w:r w:rsidRPr="00FA2F34">
        <w:rPr>
          <w:rFonts w:ascii="Gotham Narrow Ultra" w:hAnsi="Gotham Narrow Ultra" w:cs="Arial"/>
          <w:b/>
          <w:color w:val="808080" w:themeColor="background1" w:themeShade="80"/>
          <w:sz w:val="56"/>
          <w:szCs w:val="56"/>
        </w:rPr>
        <w:t>CLASSIFICATIONS :</w:t>
      </w:r>
    </w:p>
    <w:p w:rsidR="0076507C" w:rsidRDefault="00A26EFE" w:rsidP="00FA2F34">
      <w:pPr>
        <w:pStyle w:val="Standard"/>
        <w:spacing w:after="0" w:line="240" w:lineRule="auto"/>
        <w:jc w:val="center"/>
        <w:rPr>
          <w:rFonts w:ascii="Gotham Narrow Ultra" w:hAnsi="Gotham Narrow Ultra" w:cs="Arial"/>
          <w:b/>
          <w:color w:val="808080" w:themeColor="background1" w:themeShade="80"/>
          <w:sz w:val="56"/>
          <w:szCs w:val="56"/>
        </w:rPr>
      </w:pPr>
      <w:r w:rsidRPr="00FA2F34">
        <w:rPr>
          <w:rFonts w:ascii="Gotham Narrow Ultra" w:hAnsi="Gotham Narrow Ultra" w:cs="Arial"/>
          <w:b/>
          <w:color w:val="808080" w:themeColor="background1" w:themeShade="80"/>
          <w:sz w:val="56"/>
          <w:szCs w:val="56"/>
        </w:rPr>
        <w:t>Les</w:t>
      </w:r>
      <w:r w:rsidR="0076507C" w:rsidRPr="00FA2F34">
        <w:rPr>
          <w:rFonts w:ascii="Gotham Narrow Ultra" w:hAnsi="Gotham Narrow Ultra" w:cs="Arial"/>
          <w:b/>
          <w:color w:val="808080" w:themeColor="background1" w:themeShade="80"/>
          <w:sz w:val="56"/>
          <w:szCs w:val="56"/>
        </w:rPr>
        <w:t xml:space="preserve"> négociations se terminent</w:t>
      </w:r>
    </w:p>
    <w:p w:rsidR="00D431E2" w:rsidRPr="00FA2F34" w:rsidRDefault="00D431E2" w:rsidP="00FA2F34">
      <w:pPr>
        <w:pStyle w:val="Standard"/>
        <w:spacing w:after="0" w:line="240" w:lineRule="auto"/>
        <w:jc w:val="center"/>
        <w:rPr>
          <w:rFonts w:ascii="Gotham Narrow Ultra" w:hAnsi="Gotham Narrow Ultra" w:cs="Arial"/>
          <w:color w:val="808080" w:themeColor="background1" w:themeShade="80"/>
          <w:sz w:val="56"/>
          <w:szCs w:val="56"/>
        </w:rPr>
      </w:pPr>
      <w:r w:rsidRPr="00E64045">
        <w:rPr>
          <w:rFonts w:ascii="Arial" w:hAnsi="Arial" w:cs="Arial"/>
          <w:noProof/>
          <w:sz w:val="24"/>
          <w:lang w:eastAsia="fr-FR"/>
        </w:rPr>
        <mc:AlternateContent>
          <mc:Choice Requires="wps">
            <w:drawing>
              <wp:anchor distT="45720" distB="45720" distL="114300" distR="114300" simplePos="0" relativeHeight="251661312" behindDoc="0" locked="0" layoutInCell="1" allowOverlap="1" wp14:anchorId="6035D77F" wp14:editId="0C98FDE1">
                <wp:simplePos x="0" y="0"/>
                <wp:positionH relativeFrom="margin">
                  <wp:align>center</wp:align>
                </wp:positionH>
                <wp:positionV relativeFrom="paragraph">
                  <wp:posOffset>160020</wp:posOffset>
                </wp:positionV>
                <wp:extent cx="4953000" cy="2190750"/>
                <wp:effectExtent l="0" t="0" r="19050" b="1905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0" cy="2190750"/>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rsidR="00D431E2" w:rsidRDefault="00D431E2" w:rsidP="00D431E2">
                            <w:r>
                              <w:rPr>
                                <w:noProof/>
                                <w:lang w:eastAsia="fr-FR"/>
                              </w:rPr>
                              <w:drawing>
                                <wp:inline distT="0" distB="0" distL="0" distR="0" wp14:anchorId="4D1D2CE8" wp14:editId="7350A2E2">
                                  <wp:extent cx="4752975" cy="2327362"/>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lide_1.jpg"/>
                                          <pic:cNvPicPr/>
                                        </pic:nvPicPr>
                                        <pic:blipFill>
                                          <a:blip r:embed="rId7">
                                            <a:extLst>
                                              <a:ext uri="{28A0092B-C50C-407E-A947-70E740481C1C}">
                                                <a14:useLocalDpi xmlns:a14="http://schemas.microsoft.com/office/drawing/2010/main" val="0"/>
                                              </a:ext>
                                            </a:extLst>
                                          </a:blip>
                                          <a:stretch>
                                            <a:fillRect/>
                                          </a:stretch>
                                        </pic:blipFill>
                                        <pic:spPr>
                                          <a:xfrm>
                                            <a:off x="0" y="0"/>
                                            <a:ext cx="4816588" cy="2358511"/>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035D77F" id="_x0000_t202" coordsize="21600,21600" o:spt="202" path="m,l,21600r21600,l21600,xe">
                <v:stroke joinstyle="miter"/>
                <v:path gradientshapeok="t" o:connecttype="rect"/>
              </v:shapetype>
              <v:shape id="Zone de texte 2" o:spid="_x0000_s1026" type="#_x0000_t202" style="position:absolute;left:0;text-align:left;margin-left:0;margin-top:12.6pt;width:390pt;height:172.5pt;z-index:25166131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" fillcolor="white [3201]" strokecolor="#c0504d [3205]" strokeweight="2pt">
                <v:textbox>
                  <w:txbxContent>
                    <w:p w:rsidR="00D431E2" w:rsidRDefault="00D431E2" w:rsidP="00D431E2">
                      <w:r>
                        <w:rPr>
                          <w:noProof/>
                          <w:lang w:eastAsia="fr-FR"/>
                        </w:rPr>
                        <w:drawing>
                          <wp:inline distT="0" distB="0" distL="0" distR="0" wp14:anchorId="4D1D2CE8" wp14:editId="7350A2E2">
                            <wp:extent cx="4752975" cy="2327362"/>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lide_1.jpg"/>
                                    <pic:cNvPicPr/>
                                  </pic:nvPicPr>
                                  <pic:blipFill>
                                    <a:blip r:embed="rId8">
                                      <a:extLst>
                                        <a:ext uri="{28A0092B-C50C-407E-A947-70E740481C1C}">
                                          <a14:useLocalDpi xmlns:a14="http://schemas.microsoft.com/office/drawing/2010/main" val="0"/>
                                        </a:ext>
                                      </a:extLst>
                                    </a:blip>
                                    <a:stretch>
                                      <a:fillRect/>
                                    </a:stretch>
                                  </pic:blipFill>
                                  <pic:spPr>
                                    <a:xfrm>
                                      <a:off x="0" y="0"/>
                                      <a:ext cx="4816588" cy="2358511"/>
                                    </a:xfrm>
                                    <a:prstGeom prst="rect">
                                      <a:avLst/>
                                    </a:prstGeom>
                                  </pic:spPr>
                                </pic:pic>
                              </a:graphicData>
                            </a:graphic>
                          </wp:inline>
                        </w:drawing>
                      </w:r>
                    </w:p>
                  </w:txbxContent>
                </v:textbox>
                <w10:wrap type="square" anchorx="margin"/>
              </v:shape>
            </w:pict>
          </mc:Fallback>
        </mc:AlternateContent>
      </w:r>
    </w:p>
    <w:p w:rsidR="00D431E2" w:rsidRDefault="00D431E2" w:rsidP="00FA2F34">
      <w:pPr>
        <w:pStyle w:val="Standard"/>
        <w:jc w:val="both"/>
        <w:rPr>
          <w:rFonts w:ascii="Arial" w:hAnsi="Arial" w:cs="Arial"/>
          <w:sz w:val="24"/>
          <w:szCs w:val="24"/>
        </w:rPr>
      </w:pPr>
    </w:p>
    <w:p w:rsidR="00D431E2" w:rsidRDefault="00D431E2" w:rsidP="00FA2F34">
      <w:pPr>
        <w:pStyle w:val="Standard"/>
        <w:jc w:val="both"/>
        <w:rPr>
          <w:rFonts w:ascii="Arial" w:hAnsi="Arial" w:cs="Arial"/>
          <w:sz w:val="24"/>
          <w:szCs w:val="24"/>
        </w:rPr>
      </w:pPr>
    </w:p>
    <w:p w:rsidR="00D431E2" w:rsidRDefault="00D431E2" w:rsidP="00FA2F34">
      <w:pPr>
        <w:pStyle w:val="Standard"/>
        <w:jc w:val="both"/>
        <w:rPr>
          <w:rFonts w:ascii="Arial" w:hAnsi="Arial" w:cs="Arial"/>
          <w:sz w:val="24"/>
          <w:szCs w:val="24"/>
        </w:rPr>
      </w:pPr>
    </w:p>
    <w:p w:rsidR="00D431E2" w:rsidRDefault="00D431E2" w:rsidP="00FA2F34">
      <w:pPr>
        <w:pStyle w:val="Standard"/>
        <w:jc w:val="both"/>
        <w:rPr>
          <w:rFonts w:ascii="Arial" w:hAnsi="Arial" w:cs="Arial"/>
          <w:sz w:val="24"/>
          <w:szCs w:val="24"/>
        </w:rPr>
      </w:pPr>
    </w:p>
    <w:p w:rsidR="00D431E2" w:rsidRDefault="00D431E2" w:rsidP="00FA2F34">
      <w:pPr>
        <w:pStyle w:val="Standard"/>
        <w:jc w:val="both"/>
        <w:rPr>
          <w:rFonts w:ascii="Arial" w:hAnsi="Arial" w:cs="Arial"/>
          <w:sz w:val="24"/>
          <w:szCs w:val="24"/>
        </w:rPr>
      </w:pPr>
    </w:p>
    <w:p w:rsidR="00D431E2" w:rsidRDefault="00D431E2" w:rsidP="00FA2F34">
      <w:pPr>
        <w:pStyle w:val="Standard"/>
        <w:jc w:val="both"/>
        <w:rPr>
          <w:rFonts w:ascii="Arial" w:hAnsi="Arial" w:cs="Arial"/>
          <w:sz w:val="24"/>
          <w:szCs w:val="24"/>
        </w:rPr>
      </w:pPr>
    </w:p>
    <w:p w:rsidR="00D431E2" w:rsidRDefault="00D431E2" w:rsidP="00FA2F34">
      <w:pPr>
        <w:pStyle w:val="Standard"/>
        <w:jc w:val="both"/>
        <w:rPr>
          <w:rFonts w:ascii="Arial" w:hAnsi="Arial" w:cs="Arial"/>
          <w:sz w:val="24"/>
          <w:szCs w:val="24"/>
        </w:rPr>
      </w:pPr>
    </w:p>
    <w:p w:rsidR="0076507C" w:rsidRPr="00FA2F34" w:rsidRDefault="0076507C" w:rsidP="00FA2F34">
      <w:pPr>
        <w:pStyle w:val="Standard"/>
        <w:jc w:val="both"/>
        <w:rPr>
          <w:rFonts w:ascii="Arial" w:hAnsi="Arial" w:cs="Arial"/>
          <w:sz w:val="24"/>
          <w:szCs w:val="24"/>
        </w:rPr>
      </w:pPr>
      <w:r w:rsidRPr="00FA2F34">
        <w:rPr>
          <w:rFonts w:ascii="Arial" w:hAnsi="Arial" w:cs="Arial"/>
          <w:sz w:val="24"/>
          <w:szCs w:val="24"/>
        </w:rPr>
        <w:t>Lors de l’ultime journée de négociation sur les classifications du 13 juillet, la Direction BPCE a assoupli certains seuils et délié des points de blocage qui avaient été laissé</w:t>
      </w:r>
      <w:r w:rsidR="00A26EFE" w:rsidRPr="00FA2F34">
        <w:rPr>
          <w:rFonts w:ascii="Arial" w:hAnsi="Arial" w:cs="Arial"/>
          <w:sz w:val="24"/>
          <w:szCs w:val="24"/>
        </w:rPr>
        <w:t>s</w:t>
      </w:r>
      <w:r w:rsidRPr="00FA2F34">
        <w:rPr>
          <w:rFonts w:ascii="Arial" w:hAnsi="Arial" w:cs="Arial"/>
          <w:sz w:val="24"/>
          <w:szCs w:val="24"/>
        </w:rPr>
        <w:t xml:space="preserve"> en suspens.</w:t>
      </w:r>
    </w:p>
    <w:p w:rsidR="0076507C" w:rsidRPr="00A7231E" w:rsidRDefault="0076507C" w:rsidP="00FA2F34">
      <w:pPr>
        <w:pStyle w:val="Standard"/>
        <w:spacing w:after="0" w:line="276" w:lineRule="auto"/>
        <w:jc w:val="both"/>
        <w:rPr>
          <w:rFonts w:ascii="Arial" w:hAnsi="Arial" w:cs="Arial"/>
          <w:b/>
          <w:sz w:val="24"/>
          <w:szCs w:val="24"/>
          <w:u w:val="single"/>
        </w:rPr>
      </w:pPr>
      <w:r w:rsidRPr="00A7231E">
        <w:rPr>
          <w:rFonts w:ascii="Arial" w:hAnsi="Arial" w:cs="Arial"/>
          <w:b/>
          <w:sz w:val="24"/>
          <w:szCs w:val="24"/>
          <w:u w:val="single"/>
        </w:rPr>
        <w:t>Pour rappel, la CFDT exigeait des avancées précises sur les points suivants</w:t>
      </w:r>
    </w:p>
    <w:p w:rsidR="0076507C" w:rsidRPr="00FA2F34" w:rsidRDefault="0076507C" w:rsidP="00FA2F34">
      <w:pPr>
        <w:pStyle w:val="Paragraphedeliste"/>
        <w:numPr>
          <w:ilvl w:val="0"/>
          <w:numId w:val="4"/>
        </w:numPr>
        <w:suppressAutoHyphens/>
        <w:autoSpaceDN w:val="0"/>
        <w:spacing w:after="0" w:line="240" w:lineRule="auto"/>
        <w:contextualSpacing w:val="0"/>
        <w:jc w:val="both"/>
        <w:textAlignment w:val="baseline"/>
        <w:rPr>
          <w:rFonts w:ascii="Arial" w:hAnsi="Arial" w:cs="Arial"/>
          <w:i/>
          <w:sz w:val="24"/>
          <w:szCs w:val="24"/>
        </w:rPr>
      </w:pPr>
      <w:r w:rsidRPr="00FA2F34">
        <w:rPr>
          <w:rFonts w:ascii="Arial" w:hAnsi="Arial" w:cs="Arial"/>
          <w:i/>
          <w:sz w:val="24"/>
          <w:szCs w:val="24"/>
        </w:rPr>
        <w:t>Fixer un niveau d’augmentation en cas de promotion dans le même métier</w:t>
      </w:r>
    </w:p>
    <w:p w:rsidR="0076507C" w:rsidRPr="00FA2F34" w:rsidRDefault="0076507C" w:rsidP="00FA2F34">
      <w:pPr>
        <w:pStyle w:val="Paragraphedeliste"/>
        <w:numPr>
          <w:ilvl w:val="0"/>
          <w:numId w:val="4"/>
        </w:numPr>
        <w:suppressAutoHyphens/>
        <w:autoSpaceDN w:val="0"/>
        <w:spacing w:after="0" w:line="240" w:lineRule="auto"/>
        <w:contextualSpacing w:val="0"/>
        <w:jc w:val="both"/>
        <w:textAlignment w:val="baseline"/>
        <w:rPr>
          <w:rFonts w:ascii="Arial" w:hAnsi="Arial" w:cs="Arial"/>
          <w:i/>
          <w:sz w:val="24"/>
          <w:szCs w:val="24"/>
        </w:rPr>
      </w:pPr>
      <w:r w:rsidRPr="00FA2F34">
        <w:rPr>
          <w:rFonts w:ascii="Arial" w:hAnsi="Arial" w:cs="Arial"/>
          <w:i/>
          <w:sz w:val="24"/>
          <w:szCs w:val="24"/>
        </w:rPr>
        <w:t>Fixer un niveau d’augmentation en cas de promotion avec changement de métier</w:t>
      </w:r>
    </w:p>
    <w:p w:rsidR="0076507C" w:rsidRPr="00FA2F34" w:rsidRDefault="0076507C" w:rsidP="00FA2F34">
      <w:pPr>
        <w:pStyle w:val="Paragraphedeliste"/>
        <w:numPr>
          <w:ilvl w:val="0"/>
          <w:numId w:val="3"/>
        </w:numPr>
        <w:suppressAutoHyphens/>
        <w:autoSpaceDN w:val="0"/>
        <w:spacing w:after="0" w:line="240" w:lineRule="auto"/>
        <w:contextualSpacing w:val="0"/>
        <w:jc w:val="both"/>
        <w:textAlignment w:val="baseline"/>
        <w:rPr>
          <w:rFonts w:ascii="Arial" w:hAnsi="Arial" w:cs="Arial"/>
          <w:i/>
          <w:sz w:val="24"/>
          <w:szCs w:val="24"/>
        </w:rPr>
      </w:pPr>
      <w:r w:rsidRPr="00FA2F34">
        <w:rPr>
          <w:rFonts w:ascii="Arial" w:hAnsi="Arial" w:cs="Arial"/>
          <w:i/>
          <w:sz w:val="24"/>
          <w:szCs w:val="24"/>
        </w:rPr>
        <w:t>Reconnaitre certains diplômes CFPB et autres </w:t>
      </w:r>
    </w:p>
    <w:p w:rsidR="0076507C" w:rsidRPr="00FA2F34" w:rsidRDefault="0076507C" w:rsidP="00FA2F34">
      <w:pPr>
        <w:pStyle w:val="Paragraphedeliste"/>
        <w:numPr>
          <w:ilvl w:val="0"/>
          <w:numId w:val="3"/>
        </w:numPr>
        <w:suppressAutoHyphens/>
        <w:autoSpaceDN w:val="0"/>
        <w:spacing w:after="0" w:line="240" w:lineRule="auto"/>
        <w:contextualSpacing w:val="0"/>
        <w:jc w:val="both"/>
        <w:textAlignment w:val="baseline"/>
        <w:rPr>
          <w:rFonts w:ascii="Arial" w:hAnsi="Arial" w:cs="Arial"/>
          <w:i/>
          <w:sz w:val="24"/>
          <w:szCs w:val="24"/>
        </w:rPr>
      </w:pPr>
      <w:r w:rsidRPr="00FA2F34">
        <w:rPr>
          <w:rFonts w:ascii="Arial" w:hAnsi="Arial" w:cs="Arial"/>
          <w:i/>
          <w:sz w:val="24"/>
          <w:szCs w:val="24"/>
        </w:rPr>
        <w:t>Maintenir le statut cadre (Cotisation AGIRC) pour les salariés qui en bénéficient déjà</w:t>
      </w:r>
    </w:p>
    <w:p w:rsidR="0076507C" w:rsidRPr="00FA2F34" w:rsidRDefault="0076507C" w:rsidP="00FA2F34">
      <w:pPr>
        <w:pStyle w:val="Paragraphedeliste"/>
        <w:spacing w:after="0" w:line="240" w:lineRule="auto"/>
        <w:jc w:val="both"/>
        <w:rPr>
          <w:rFonts w:ascii="Arial" w:hAnsi="Arial" w:cs="Arial"/>
          <w:sz w:val="24"/>
          <w:szCs w:val="24"/>
        </w:rPr>
      </w:pPr>
    </w:p>
    <w:p w:rsidR="0076507C" w:rsidRPr="00FA2F34" w:rsidRDefault="0076507C" w:rsidP="00FA2F34">
      <w:pPr>
        <w:pStyle w:val="Standard"/>
        <w:spacing w:after="0" w:line="276" w:lineRule="auto"/>
        <w:jc w:val="both"/>
        <w:rPr>
          <w:rFonts w:ascii="Arial" w:hAnsi="Arial" w:cs="Arial"/>
          <w:sz w:val="24"/>
          <w:szCs w:val="24"/>
        </w:rPr>
      </w:pPr>
      <w:r w:rsidRPr="00FA2F34">
        <w:rPr>
          <w:rFonts w:ascii="Arial" w:hAnsi="Arial" w:cs="Arial"/>
          <w:sz w:val="24"/>
          <w:szCs w:val="24"/>
        </w:rPr>
        <w:t>La Direction BPCE a répondu favorablement à ces perspectives :</w:t>
      </w:r>
    </w:p>
    <w:p w:rsidR="0076507C" w:rsidRPr="00FA2F34" w:rsidRDefault="0076507C" w:rsidP="00FA2F34">
      <w:pPr>
        <w:pStyle w:val="Standard"/>
        <w:spacing w:after="0" w:line="276" w:lineRule="auto"/>
        <w:jc w:val="both"/>
        <w:rPr>
          <w:rFonts w:ascii="Arial" w:hAnsi="Arial" w:cs="Arial"/>
          <w:sz w:val="24"/>
          <w:szCs w:val="24"/>
        </w:rPr>
      </w:pPr>
    </w:p>
    <w:p w:rsidR="0076507C" w:rsidRPr="00FA2F34" w:rsidRDefault="0076507C" w:rsidP="00FA2F34">
      <w:pPr>
        <w:pStyle w:val="Standard"/>
        <w:numPr>
          <w:ilvl w:val="0"/>
          <w:numId w:val="7"/>
        </w:numPr>
        <w:spacing w:after="0" w:line="240" w:lineRule="auto"/>
        <w:jc w:val="both"/>
        <w:rPr>
          <w:rFonts w:ascii="Arial" w:hAnsi="Arial" w:cs="Arial"/>
          <w:sz w:val="24"/>
          <w:szCs w:val="24"/>
        </w:rPr>
      </w:pPr>
      <w:r w:rsidRPr="00FA2F34">
        <w:rPr>
          <w:rFonts w:ascii="Arial" w:hAnsi="Arial" w:cs="Arial"/>
          <w:b/>
          <w:sz w:val="24"/>
          <w:szCs w:val="24"/>
        </w:rPr>
        <w:t>Promotion dans le même métier</w:t>
      </w:r>
      <w:r w:rsidRPr="00FA2F34">
        <w:rPr>
          <w:rFonts w:ascii="Arial" w:hAnsi="Arial" w:cs="Arial"/>
          <w:sz w:val="24"/>
          <w:szCs w:val="24"/>
        </w:rPr>
        <w:t xml:space="preserve"> </w:t>
      </w:r>
      <w:r w:rsidRPr="00FA2F34">
        <w:rPr>
          <w:rFonts w:ascii="Arial" w:hAnsi="Arial" w:cs="Arial"/>
          <w:b/>
          <w:sz w:val="24"/>
          <w:szCs w:val="24"/>
        </w:rPr>
        <w:t>(Exemple : un chargé de clientèle particuliers qui passe de E en F)</w:t>
      </w:r>
    </w:p>
    <w:p w:rsidR="0076507C" w:rsidRPr="00FA2F34" w:rsidRDefault="0076507C" w:rsidP="00FA2F34">
      <w:pPr>
        <w:pStyle w:val="Standard"/>
        <w:spacing w:after="0" w:line="240" w:lineRule="auto"/>
        <w:jc w:val="both"/>
        <w:rPr>
          <w:rFonts w:ascii="Arial" w:hAnsi="Arial" w:cs="Arial"/>
          <w:sz w:val="24"/>
          <w:szCs w:val="24"/>
        </w:rPr>
      </w:pPr>
      <w:r w:rsidRPr="00FA2F34">
        <w:rPr>
          <w:rFonts w:ascii="Arial" w:hAnsi="Arial" w:cs="Arial"/>
          <w:sz w:val="24"/>
          <w:szCs w:val="24"/>
        </w:rPr>
        <w:t xml:space="preserve">Augmentation de salaire au moins équivalente à 35% du différentiel entre le salaire annuel minimal de branche du niveau de classification qu’occupait le salarié avant sa promotion         (ici, la E) et celui de son nouveau niveau de classification (ici, la F)  </w:t>
      </w:r>
    </w:p>
    <w:p w:rsidR="0076507C" w:rsidRPr="00FA2F34" w:rsidRDefault="0076507C" w:rsidP="00FA2F34">
      <w:pPr>
        <w:pStyle w:val="Standard"/>
        <w:spacing w:after="0" w:line="240" w:lineRule="auto"/>
        <w:jc w:val="both"/>
        <w:rPr>
          <w:rFonts w:ascii="Arial" w:hAnsi="Arial" w:cs="Arial"/>
          <w:sz w:val="24"/>
          <w:szCs w:val="24"/>
        </w:rPr>
      </w:pPr>
    </w:p>
    <w:p w:rsidR="0076507C" w:rsidRPr="00FA2F34" w:rsidRDefault="0076507C" w:rsidP="00FA2F34">
      <w:pPr>
        <w:pStyle w:val="Paragraphedeliste"/>
        <w:numPr>
          <w:ilvl w:val="0"/>
          <w:numId w:val="6"/>
        </w:numPr>
        <w:suppressAutoHyphens/>
        <w:autoSpaceDN w:val="0"/>
        <w:spacing w:after="0" w:line="240" w:lineRule="auto"/>
        <w:contextualSpacing w:val="0"/>
        <w:jc w:val="both"/>
        <w:textAlignment w:val="baseline"/>
        <w:rPr>
          <w:rFonts w:ascii="Arial" w:hAnsi="Arial" w:cs="Arial"/>
          <w:sz w:val="24"/>
          <w:szCs w:val="24"/>
        </w:rPr>
      </w:pPr>
      <w:r w:rsidRPr="00FA2F34">
        <w:rPr>
          <w:rFonts w:ascii="Arial" w:hAnsi="Arial" w:cs="Arial"/>
          <w:sz w:val="24"/>
          <w:szCs w:val="24"/>
        </w:rPr>
        <w:t xml:space="preserve">Dans le dispositif précédent, il n’existait pas de promotion au sein du même emploi,     (il n’existait que la possibilité d’augmentations individuelles). C’est désormais chose faite, avec fixation d’un calcul d’augmentation minimum (les 35 %). </w:t>
      </w:r>
    </w:p>
    <w:p w:rsidR="0076507C" w:rsidRPr="00FA2F34" w:rsidRDefault="0076507C" w:rsidP="00FA2F34">
      <w:pPr>
        <w:pStyle w:val="Paragraphedeliste"/>
        <w:spacing w:after="0" w:line="240" w:lineRule="auto"/>
        <w:jc w:val="both"/>
        <w:rPr>
          <w:rFonts w:ascii="Arial" w:hAnsi="Arial" w:cs="Arial"/>
          <w:sz w:val="24"/>
          <w:szCs w:val="24"/>
        </w:rPr>
      </w:pPr>
      <w:r w:rsidRPr="00FA2F34">
        <w:rPr>
          <w:rFonts w:ascii="Arial" w:hAnsi="Arial" w:cs="Arial"/>
          <w:sz w:val="24"/>
          <w:szCs w:val="24"/>
        </w:rPr>
        <w:t>C’était une forte revendication CFDT (paliers dans l’emploi).</w:t>
      </w:r>
    </w:p>
    <w:p w:rsidR="0076507C" w:rsidRPr="00FA2F34" w:rsidRDefault="0076507C" w:rsidP="00FA2F34">
      <w:pPr>
        <w:pStyle w:val="Standard"/>
        <w:spacing w:after="0" w:line="240" w:lineRule="auto"/>
        <w:jc w:val="both"/>
        <w:rPr>
          <w:rFonts w:ascii="Arial" w:hAnsi="Arial" w:cs="Arial"/>
          <w:sz w:val="24"/>
          <w:szCs w:val="24"/>
        </w:rPr>
      </w:pPr>
    </w:p>
    <w:p w:rsidR="0076507C" w:rsidRPr="00FA2F34" w:rsidRDefault="0076507C" w:rsidP="00FA2F34">
      <w:pPr>
        <w:pStyle w:val="Standard"/>
        <w:numPr>
          <w:ilvl w:val="0"/>
          <w:numId w:val="7"/>
        </w:numPr>
        <w:spacing w:after="0" w:line="240" w:lineRule="auto"/>
        <w:jc w:val="both"/>
        <w:rPr>
          <w:rFonts w:ascii="Arial" w:hAnsi="Arial" w:cs="Arial"/>
          <w:sz w:val="24"/>
          <w:szCs w:val="24"/>
        </w:rPr>
      </w:pPr>
      <w:r w:rsidRPr="00FA2F34">
        <w:rPr>
          <w:rFonts w:ascii="Arial" w:hAnsi="Arial" w:cs="Arial"/>
          <w:b/>
          <w:sz w:val="24"/>
          <w:szCs w:val="24"/>
        </w:rPr>
        <w:t>Promotion avec changement de métier</w:t>
      </w:r>
      <w:r w:rsidRPr="00FA2F34">
        <w:rPr>
          <w:rFonts w:ascii="Arial" w:hAnsi="Arial" w:cs="Arial"/>
          <w:sz w:val="24"/>
          <w:szCs w:val="24"/>
        </w:rPr>
        <w:t xml:space="preserve"> </w:t>
      </w:r>
      <w:r w:rsidRPr="00FA2F34">
        <w:rPr>
          <w:rFonts w:ascii="Arial" w:hAnsi="Arial" w:cs="Arial"/>
          <w:b/>
          <w:sz w:val="24"/>
          <w:szCs w:val="24"/>
        </w:rPr>
        <w:t xml:space="preserve">(Exemple : un chargé d’accueil en D qui passe </w:t>
      </w:r>
      <w:proofErr w:type="gramStart"/>
      <w:r w:rsidRPr="00FA2F34">
        <w:rPr>
          <w:rFonts w:ascii="Arial" w:hAnsi="Arial" w:cs="Arial"/>
          <w:b/>
          <w:sz w:val="24"/>
          <w:szCs w:val="24"/>
        </w:rPr>
        <w:t>chargé</w:t>
      </w:r>
      <w:proofErr w:type="gramEnd"/>
      <w:r w:rsidRPr="00FA2F34">
        <w:rPr>
          <w:rFonts w:ascii="Arial" w:hAnsi="Arial" w:cs="Arial"/>
          <w:b/>
          <w:sz w:val="24"/>
          <w:szCs w:val="24"/>
        </w:rPr>
        <w:t xml:space="preserve"> de clientèle particuliers en E)</w:t>
      </w:r>
    </w:p>
    <w:p w:rsidR="0076507C" w:rsidRPr="00FA2F34" w:rsidRDefault="0076507C" w:rsidP="00FA2F34">
      <w:pPr>
        <w:pStyle w:val="Standard"/>
        <w:spacing w:after="0" w:line="240" w:lineRule="auto"/>
        <w:jc w:val="both"/>
        <w:rPr>
          <w:rFonts w:ascii="Arial" w:hAnsi="Arial" w:cs="Arial"/>
          <w:sz w:val="24"/>
          <w:szCs w:val="24"/>
        </w:rPr>
      </w:pPr>
      <w:r w:rsidRPr="00FA2F34">
        <w:rPr>
          <w:rFonts w:ascii="Arial" w:hAnsi="Arial" w:cs="Arial"/>
          <w:sz w:val="24"/>
          <w:szCs w:val="24"/>
        </w:rPr>
        <w:t>Augmentation de salaire au moins équivalente à 50% du différentiel entre le salaire annuel minimal de Branche du niveau de classification qu’occupait le salar</w:t>
      </w:r>
      <w:r w:rsidR="00E406A1">
        <w:rPr>
          <w:rFonts w:ascii="Arial" w:hAnsi="Arial" w:cs="Arial"/>
          <w:sz w:val="24"/>
          <w:szCs w:val="24"/>
        </w:rPr>
        <w:t>ié avant sa promotion (ici, la D</w:t>
      </w:r>
      <w:r w:rsidRPr="00FA2F34">
        <w:rPr>
          <w:rFonts w:ascii="Arial" w:hAnsi="Arial" w:cs="Arial"/>
          <w:sz w:val="24"/>
          <w:szCs w:val="24"/>
        </w:rPr>
        <w:t>) et celui de son nouveau niv</w:t>
      </w:r>
      <w:r w:rsidR="00E406A1">
        <w:rPr>
          <w:rFonts w:ascii="Arial" w:hAnsi="Arial" w:cs="Arial"/>
          <w:sz w:val="24"/>
          <w:szCs w:val="24"/>
        </w:rPr>
        <w:t>eau de classification (ici, la E</w:t>
      </w:r>
      <w:r w:rsidRPr="00FA2F34">
        <w:rPr>
          <w:rFonts w:ascii="Arial" w:hAnsi="Arial" w:cs="Arial"/>
          <w:sz w:val="24"/>
          <w:szCs w:val="24"/>
        </w:rPr>
        <w:t>)</w:t>
      </w:r>
    </w:p>
    <w:p w:rsidR="0076507C" w:rsidRPr="00FA2F34" w:rsidRDefault="0076507C" w:rsidP="00FA2F34">
      <w:pPr>
        <w:pStyle w:val="Standard"/>
        <w:spacing w:after="0" w:line="240" w:lineRule="auto"/>
        <w:jc w:val="both"/>
        <w:rPr>
          <w:rFonts w:ascii="Arial" w:hAnsi="Arial" w:cs="Arial"/>
          <w:sz w:val="24"/>
          <w:szCs w:val="24"/>
        </w:rPr>
      </w:pPr>
      <w:bookmarkStart w:id="0" w:name="_GoBack"/>
      <w:bookmarkEnd w:id="0"/>
    </w:p>
    <w:p w:rsidR="00E64045" w:rsidRPr="00E64045" w:rsidRDefault="0076507C" w:rsidP="00152604">
      <w:pPr>
        <w:pStyle w:val="Standard"/>
        <w:numPr>
          <w:ilvl w:val="0"/>
          <w:numId w:val="8"/>
        </w:numPr>
        <w:spacing w:after="0" w:line="240" w:lineRule="auto"/>
        <w:jc w:val="both"/>
        <w:rPr>
          <w:rFonts w:ascii="Arial" w:hAnsi="Arial" w:cs="Arial"/>
          <w:sz w:val="24"/>
          <w:szCs w:val="24"/>
        </w:rPr>
      </w:pPr>
      <w:r w:rsidRPr="00E64045">
        <w:rPr>
          <w:rFonts w:ascii="Arial" w:hAnsi="Arial" w:cs="Arial"/>
          <w:sz w:val="24"/>
          <w:szCs w:val="24"/>
        </w:rPr>
        <w:t>Il s’agit là d’une avancée significative puisque le calcul</w:t>
      </w:r>
      <w:r w:rsidR="00E64045">
        <w:rPr>
          <w:rFonts w:ascii="Arial" w:hAnsi="Arial" w:cs="Arial"/>
          <w:sz w:val="24"/>
          <w:szCs w:val="24"/>
        </w:rPr>
        <w:t xml:space="preserve"> de l’augmentation de salaire </w:t>
      </w:r>
      <w:r w:rsidRPr="00E64045">
        <w:rPr>
          <w:rFonts w:ascii="Arial" w:hAnsi="Arial" w:cs="Arial"/>
          <w:sz w:val="24"/>
          <w:szCs w:val="24"/>
        </w:rPr>
        <w:t>passe de 35 % (ancien dispositif) à 50 % (nouveau dispositif)</w:t>
      </w:r>
    </w:p>
    <w:p w:rsidR="00D431E2" w:rsidRPr="00D431E2" w:rsidRDefault="00D431E2" w:rsidP="00FA2F34">
      <w:pPr>
        <w:jc w:val="both"/>
        <w:rPr>
          <w:rFonts w:ascii="Arial" w:hAnsi="Arial" w:cs="Arial"/>
          <w:sz w:val="10"/>
          <w:szCs w:val="10"/>
        </w:rPr>
      </w:pPr>
    </w:p>
    <w:p w:rsidR="0076507C" w:rsidRPr="00FA2F34" w:rsidRDefault="0076507C" w:rsidP="00FA2F34">
      <w:pPr>
        <w:jc w:val="both"/>
        <w:rPr>
          <w:rFonts w:ascii="Arial" w:hAnsi="Arial" w:cs="Arial"/>
          <w:sz w:val="24"/>
        </w:rPr>
      </w:pPr>
    </w:p>
    <w:p w:rsidR="007541AF" w:rsidRPr="00FA2F34" w:rsidRDefault="0076507C" w:rsidP="00FA2F34">
      <w:pPr>
        <w:tabs>
          <w:tab w:val="left" w:pos="2625"/>
        </w:tabs>
        <w:jc w:val="both"/>
        <w:rPr>
          <w:rFonts w:ascii="Arial" w:hAnsi="Arial" w:cs="Arial"/>
        </w:rPr>
      </w:pPr>
      <w:r w:rsidRPr="00FA2F34">
        <w:rPr>
          <w:rFonts w:ascii="Arial" w:hAnsi="Arial" w:cs="Arial"/>
        </w:rPr>
        <w:tab/>
      </w:r>
      <w:r w:rsidR="00BF2950" w:rsidRPr="00FA2F34">
        <w:rPr>
          <w:rFonts w:ascii="Arial" w:hAnsi="Arial" w:cs="Arial"/>
          <w:noProof/>
          <w:sz w:val="24"/>
          <w:lang w:eastAsia="fr-FR"/>
        </w:rPr>
        <w:drawing>
          <wp:inline distT="0" distB="0" distL="0" distR="0" wp14:anchorId="066395E5" wp14:editId="357A16AF">
            <wp:extent cx="2891306" cy="3200400"/>
            <wp:effectExtent l="0" t="0" r="4445" b="0"/>
            <wp:docPr id="15" name="Image 15" descr="C:\Users\sylvainecouturier\Desktop\CPN 13 jullet 2016\tablea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ylvainecouturier\Desktop\CPN 13 jullet 2016\tableau.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93120" cy="3202408"/>
                    </a:xfrm>
                    <a:prstGeom prst="rect">
                      <a:avLst/>
                    </a:prstGeom>
                    <a:noFill/>
                    <a:ln>
                      <a:noFill/>
                    </a:ln>
                  </pic:spPr>
                </pic:pic>
              </a:graphicData>
            </a:graphic>
          </wp:inline>
        </w:drawing>
      </w:r>
    </w:p>
    <w:p w:rsidR="00BF2950" w:rsidRPr="00FA2F34" w:rsidRDefault="00BF2950" w:rsidP="00FA2F34">
      <w:pPr>
        <w:pStyle w:val="Standard"/>
        <w:numPr>
          <w:ilvl w:val="0"/>
          <w:numId w:val="7"/>
        </w:numPr>
        <w:spacing w:after="0" w:line="240" w:lineRule="auto"/>
        <w:jc w:val="both"/>
        <w:rPr>
          <w:rFonts w:ascii="Arial" w:hAnsi="Arial" w:cs="Arial"/>
          <w:sz w:val="24"/>
          <w:szCs w:val="24"/>
        </w:rPr>
      </w:pPr>
      <w:r w:rsidRPr="00FA2F34">
        <w:rPr>
          <w:rFonts w:ascii="Arial" w:hAnsi="Arial" w:cs="Arial"/>
          <w:b/>
          <w:sz w:val="24"/>
          <w:szCs w:val="24"/>
        </w:rPr>
        <w:t>Extension de la reconnaissance des diplômes</w:t>
      </w:r>
    </w:p>
    <w:p w:rsidR="00BF2950" w:rsidRPr="00FA2F34" w:rsidRDefault="00BF2950" w:rsidP="00FA2F34">
      <w:pPr>
        <w:pStyle w:val="Standard"/>
        <w:spacing w:after="0" w:line="240" w:lineRule="auto"/>
        <w:jc w:val="both"/>
        <w:rPr>
          <w:rFonts w:ascii="Arial" w:hAnsi="Arial" w:cs="Arial"/>
          <w:sz w:val="24"/>
          <w:szCs w:val="24"/>
        </w:rPr>
      </w:pPr>
      <w:r w:rsidRPr="00FA2F34">
        <w:rPr>
          <w:rFonts w:ascii="Arial" w:hAnsi="Arial" w:cs="Arial"/>
          <w:sz w:val="24"/>
          <w:szCs w:val="24"/>
        </w:rPr>
        <w:t>Le nouvel accord étend le champ de reconnaissance des diplômes : BP Banque, BTS Banques « option Marché des particuliers », « option Marché des professionnels », Licence professionnelle bancaire ou diplômes obtenus à l’issue du cycle de professionnalisation certifié « Conseiller clientèle de professionnels », les diplômes du cycle de développement professionnel certifié « conseiller patrimonial agence », ITB.</w:t>
      </w:r>
    </w:p>
    <w:p w:rsidR="00BF2950" w:rsidRPr="00FA2F34" w:rsidRDefault="00BF2950" w:rsidP="00FA2F34">
      <w:pPr>
        <w:pStyle w:val="Standard"/>
        <w:spacing w:after="0" w:line="240" w:lineRule="auto"/>
        <w:jc w:val="both"/>
        <w:rPr>
          <w:rFonts w:ascii="Arial" w:hAnsi="Arial" w:cs="Arial"/>
          <w:sz w:val="24"/>
          <w:szCs w:val="24"/>
        </w:rPr>
      </w:pPr>
    </w:p>
    <w:p w:rsidR="00BF2950" w:rsidRPr="00FA2F34" w:rsidRDefault="00BF2950" w:rsidP="00FA2F34">
      <w:pPr>
        <w:pStyle w:val="Standard"/>
        <w:numPr>
          <w:ilvl w:val="0"/>
          <w:numId w:val="5"/>
        </w:numPr>
        <w:spacing w:after="0" w:line="240" w:lineRule="auto"/>
        <w:jc w:val="both"/>
        <w:rPr>
          <w:rFonts w:ascii="Arial" w:hAnsi="Arial" w:cs="Arial"/>
          <w:sz w:val="24"/>
          <w:szCs w:val="24"/>
        </w:rPr>
      </w:pPr>
      <w:r w:rsidRPr="00FA2F34">
        <w:rPr>
          <w:rFonts w:ascii="Arial" w:hAnsi="Arial" w:cs="Arial"/>
          <w:sz w:val="24"/>
          <w:szCs w:val="24"/>
        </w:rPr>
        <w:t>C’est une avancée significative de reconnaissance des diplômes professionnels  ainsi que ceux relevant du système scolaire.</w:t>
      </w:r>
    </w:p>
    <w:p w:rsidR="00BF2950" w:rsidRPr="00FA2F34" w:rsidRDefault="00BF2950" w:rsidP="00FA2F34">
      <w:pPr>
        <w:pStyle w:val="Standard"/>
        <w:spacing w:after="0" w:line="240" w:lineRule="auto"/>
        <w:jc w:val="both"/>
        <w:rPr>
          <w:rFonts w:ascii="Arial" w:hAnsi="Arial" w:cs="Arial"/>
          <w:sz w:val="24"/>
          <w:szCs w:val="24"/>
        </w:rPr>
      </w:pPr>
    </w:p>
    <w:p w:rsidR="00BF2950" w:rsidRPr="00FA2F34" w:rsidRDefault="00BF2950" w:rsidP="00FA2F34">
      <w:pPr>
        <w:pStyle w:val="Standard"/>
        <w:numPr>
          <w:ilvl w:val="0"/>
          <w:numId w:val="7"/>
        </w:numPr>
        <w:spacing w:after="0" w:line="240" w:lineRule="auto"/>
        <w:jc w:val="both"/>
        <w:rPr>
          <w:rFonts w:ascii="Arial" w:hAnsi="Arial" w:cs="Arial"/>
          <w:sz w:val="24"/>
          <w:szCs w:val="24"/>
        </w:rPr>
      </w:pPr>
      <w:r w:rsidRPr="00FA2F34">
        <w:rPr>
          <w:rFonts w:ascii="Arial" w:hAnsi="Arial" w:cs="Arial"/>
          <w:b/>
          <w:sz w:val="24"/>
          <w:szCs w:val="24"/>
        </w:rPr>
        <w:t>Statut cadre</w:t>
      </w:r>
    </w:p>
    <w:p w:rsidR="00BF2950" w:rsidRPr="00FA2F34" w:rsidRDefault="00BF2950" w:rsidP="00FA2F34">
      <w:pPr>
        <w:pStyle w:val="Standard"/>
        <w:spacing w:after="0" w:line="240" w:lineRule="auto"/>
        <w:jc w:val="both"/>
        <w:rPr>
          <w:rFonts w:ascii="Arial" w:hAnsi="Arial" w:cs="Arial"/>
          <w:sz w:val="24"/>
          <w:szCs w:val="24"/>
        </w:rPr>
      </w:pPr>
      <w:r w:rsidRPr="00FA2F34">
        <w:rPr>
          <w:rFonts w:ascii="Arial" w:hAnsi="Arial" w:cs="Arial"/>
          <w:sz w:val="24"/>
          <w:szCs w:val="24"/>
        </w:rPr>
        <w:t>Les salariés qui cotisent à l’AGIRC à la date de mise en œuvre de l’accord conservent le bénéfice de cette affiliation.</w:t>
      </w:r>
    </w:p>
    <w:p w:rsidR="00BF2950" w:rsidRPr="00FA2F34" w:rsidRDefault="00BF2950" w:rsidP="00FA2F34">
      <w:pPr>
        <w:pStyle w:val="Standard"/>
        <w:spacing w:after="0" w:line="240" w:lineRule="auto"/>
        <w:jc w:val="both"/>
        <w:rPr>
          <w:rFonts w:ascii="Arial" w:hAnsi="Arial" w:cs="Arial"/>
          <w:sz w:val="24"/>
          <w:szCs w:val="24"/>
        </w:rPr>
      </w:pPr>
    </w:p>
    <w:p w:rsidR="00BF2950" w:rsidRPr="00FA2F34" w:rsidRDefault="00BF2950" w:rsidP="00FA2F34">
      <w:pPr>
        <w:pStyle w:val="Standard"/>
        <w:numPr>
          <w:ilvl w:val="0"/>
          <w:numId w:val="7"/>
        </w:numPr>
        <w:spacing w:after="0" w:line="240" w:lineRule="auto"/>
        <w:jc w:val="both"/>
        <w:rPr>
          <w:rFonts w:ascii="Arial" w:hAnsi="Arial" w:cs="Arial"/>
          <w:sz w:val="24"/>
          <w:szCs w:val="24"/>
        </w:rPr>
      </w:pPr>
      <w:r w:rsidRPr="00FA2F34">
        <w:rPr>
          <w:rFonts w:ascii="Arial" w:hAnsi="Arial" w:cs="Arial"/>
          <w:b/>
          <w:sz w:val="24"/>
          <w:szCs w:val="24"/>
        </w:rPr>
        <w:t>Présentation de l’accord</w:t>
      </w:r>
    </w:p>
    <w:p w:rsidR="00BF2950" w:rsidRPr="00FA2F34" w:rsidRDefault="00BF2950" w:rsidP="00FA2F34">
      <w:pPr>
        <w:pStyle w:val="Standard"/>
        <w:spacing w:after="0" w:line="240" w:lineRule="auto"/>
        <w:jc w:val="both"/>
        <w:rPr>
          <w:rFonts w:ascii="Arial" w:hAnsi="Arial" w:cs="Arial"/>
          <w:sz w:val="24"/>
          <w:szCs w:val="24"/>
        </w:rPr>
      </w:pPr>
      <w:r w:rsidRPr="00FA2F34">
        <w:rPr>
          <w:rFonts w:ascii="Arial" w:hAnsi="Arial" w:cs="Arial"/>
          <w:sz w:val="24"/>
          <w:szCs w:val="24"/>
        </w:rPr>
        <w:t>L’accord prendra effet au 1</w:t>
      </w:r>
      <w:r w:rsidRPr="00FA2F34">
        <w:rPr>
          <w:rFonts w:ascii="Arial" w:hAnsi="Arial" w:cs="Arial"/>
          <w:sz w:val="24"/>
          <w:szCs w:val="24"/>
          <w:vertAlign w:val="superscript"/>
        </w:rPr>
        <w:t>er</w:t>
      </w:r>
      <w:r w:rsidRPr="00FA2F34">
        <w:rPr>
          <w:rFonts w:ascii="Arial" w:hAnsi="Arial" w:cs="Arial"/>
          <w:sz w:val="24"/>
          <w:szCs w:val="24"/>
        </w:rPr>
        <w:t xml:space="preserve"> janvier 2017.</w:t>
      </w:r>
    </w:p>
    <w:p w:rsidR="00BF2950" w:rsidRPr="00FA2F34" w:rsidRDefault="00BF2950" w:rsidP="00FA2F34">
      <w:pPr>
        <w:pStyle w:val="Standard"/>
        <w:spacing w:after="0" w:line="240" w:lineRule="auto"/>
        <w:jc w:val="both"/>
        <w:rPr>
          <w:rFonts w:ascii="Arial" w:hAnsi="Arial" w:cs="Arial"/>
          <w:sz w:val="24"/>
          <w:szCs w:val="24"/>
        </w:rPr>
      </w:pPr>
      <w:r w:rsidRPr="00FA2F34">
        <w:rPr>
          <w:rFonts w:ascii="Arial" w:hAnsi="Arial" w:cs="Arial"/>
          <w:sz w:val="24"/>
          <w:szCs w:val="24"/>
        </w:rPr>
        <w:t>Les salariés seront individuellement informés par courrier de leur nouveau niveau de classification ainsi que du métier-repère dont ils dépendent.</w:t>
      </w:r>
    </w:p>
    <w:p w:rsidR="00BF2950" w:rsidRPr="00FA2F34" w:rsidRDefault="00BF2950" w:rsidP="00FA2F34">
      <w:pPr>
        <w:pStyle w:val="Standard"/>
        <w:spacing w:after="0" w:line="240" w:lineRule="auto"/>
        <w:ind w:left="142"/>
        <w:jc w:val="both"/>
        <w:rPr>
          <w:rFonts w:ascii="Arial" w:hAnsi="Arial" w:cs="Arial"/>
          <w:b/>
          <w:sz w:val="24"/>
          <w:szCs w:val="24"/>
          <w:shd w:val="clear" w:color="auto" w:fill="FFFF00"/>
        </w:rPr>
      </w:pPr>
      <w:r w:rsidRPr="00FA2F34">
        <w:rPr>
          <w:rFonts w:ascii="Arial" w:hAnsi="Arial" w:cs="Arial"/>
          <w:b/>
          <w:noProof/>
          <w:sz w:val="24"/>
          <w:szCs w:val="24"/>
          <w:lang w:eastAsia="fr-FR"/>
        </w:rPr>
        <mc:AlternateContent>
          <mc:Choice Requires="wps">
            <w:drawing>
              <wp:anchor distT="0" distB="0" distL="114300" distR="114300" simplePos="0" relativeHeight="251659264" behindDoc="0" locked="0" layoutInCell="1" allowOverlap="1">
                <wp:simplePos x="0" y="0"/>
                <wp:positionH relativeFrom="margin">
                  <wp:posOffset>-150495</wp:posOffset>
                </wp:positionH>
                <wp:positionV relativeFrom="paragraph">
                  <wp:posOffset>71755</wp:posOffset>
                </wp:positionV>
                <wp:extent cx="7105650" cy="1905000"/>
                <wp:effectExtent l="0" t="0" r="19050" b="19050"/>
                <wp:wrapNone/>
                <wp:docPr id="20" name="Rectangle à coins arrondis 20"/>
                <wp:cNvGraphicFramePr/>
                <a:graphic xmlns:a="http://schemas.openxmlformats.org/drawingml/2006/main">
                  <a:graphicData uri="http://schemas.microsoft.com/office/word/2010/wordprocessingShape">
                    <wps:wsp>
                      <wps:cNvSpPr/>
                      <wps:spPr>
                        <a:xfrm>
                          <a:off x="0" y="0"/>
                          <a:ext cx="7105650" cy="1905000"/>
                        </a:xfrm>
                        <a:prstGeom prst="roundRect">
                          <a:avLst/>
                        </a:prstGeom>
                        <a:no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60B186A" id="Rectangle à coins arrondis 20" o:spid="_x0000_s1026" style="position:absolute;margin-left:-11.85pt;margin-top:5.65pt;width:559.5pt;height:150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" filled="f" strokecolor="#a5a5a5 [2092]" strokeweight="2pt">
                <w10:wrap anchorx="margin"/>
              </v:roundrect>
            </w:pict>
          </mc:Fallback>
        </mc:AlternateContent>
      </w:r>
    </w:p>
    <w:p w:rsidR="00BF2950" w:rsidRPr="00FA2F34" w:rsidRDefault="00BF2950" w:rsidP="00FA2F34">
      <w:pPr>
        <w:pStyle w:val="Standard"/>
        <w:spacing w:after="0" w:line="240" w:lineRule="auto"/>
        <w:jc w:val="both"/>
        <w:rPr>
          <w:rFonts w:ascii="Arial" w:hAnsi="Arial" w:cs="Arial"/>
          <w:b/>
          <w:sz w:val="24"/>
          <w:szCs w:val="24"/>
        </w:rPr>
      </w:pPr>
      <w:r w:rsidRPr="00FA2F34">
        <w:rPr>
          <w:rFonts w:ascii="Arial" w:hAnsi="Arial" w:cs="Arial"/>
          <w:b/>
          <w:sz w:val="24"/>
          <w:szCs w:val="24"/>
        </w:rPr>
        <w:t>Pour la CFDT ce nouveau système permettra aux salariés de bénéficier de promotion et d’évolution de salaire sans pour autant changer de métier.</w:t>
      </w:r>
    </w:p>
    <w:p w:rsidR="00BF2950" w:rsidRPr="00FA2F34" w:rsidRDefault="00BF2950" w:rsidP="00FA2F34">
      <w:pPr>
        <w:pStyle w:val="Standard"/>
        <w:spacing w:after="0" w:line="240" w:lineRule="auto"/>
        <w:jc w:val="both"/>
        <w:rPr>
          <w:rFonts w:ascii="Arial" w:hAnsi="Arial" w:cs="Arial"/>
          <w:sz w:val="24"/>
          <w:szCs w:val="24"/>
        </w:rPr>
      </w:pPr>
      <w:r w:rsidRPr="00FA2F34">
        <w:rPr>
          <w:rFonts w:ascii="Arial" w:hAnsi="Arial" w:cs="Arial"/>
          <w:b/>
          <w:sz w:val="24"/>
          <w:szCs w:val="24"/>
        </w:rPr>
        <w:t>C’est son avantage majeur.</w:t>
      </w:r>
    </w:p>
    <w:p w:rsidR="00BF2950" w:rsidRPr="00FA2F34" w:rsidRDefault="00BF2950" w:rsidP="00FA2F34">
      <w:pPr>
        <w:pStyle w:val="Standard"/>
        <w:spacing w:after="0" w:line="240" w:lineRule="auto"/>
        <w:jc w:val="both"/>
        <w:rPr>
          <w:rFonts w:ascii="Arial" w:hAnsi="Arial" w:cs="Arial"/>
          <w:b/>
          <w:sz w:val="24"/>
          <w:szCs w:val="24"/>
        </w:rPr>
      </w:pPr>
    </w:p>
    <w:p w:rsidR="00BF2950" w:rsidRPr="00FA2F34" w:rsidRDefault="00BF2950" w:rsidP="00FA2F34">
      <w:pPr>
        <w:pStyle w:val="Standard"/>
        <w:spacing w:after="0" w:line="240" w:lineRule="auto"/>
        <w:jc w:val="both"/>
        <w:rPr>
          <w:rFonts w:ascii="Arial" w:hAnsi="Arial" w:cs="Arial"/>
          <w:b/>
          <w:sz w:val="24"/>
          <w:szCs w:val="24"/>
        </w:rPr>
      </w:pPr>
      <w:r w:rsidRPr="00FA2F34">
        <w:rPr>
          <w:rFonts w:ascii="Arial" w:hAnsi="Arial" w:cs="Arial"/>
          <w:b/>
          <w:sz w:val="24"/>
          <w:szCs w:val="24"/>
        </w:rPr>
        <w:t>La négociation est maintenant terminée.</w:t>
      </w:r>
    </w:p>
    <w:p w:rsidR="00BF2950" w:rsidRPr="00FA2F34" w:rsidRDefault="00BF2950" w:rsidP="00FA2F34">
      <w:pPr>
        <w:pStyle w:val="Standard"/>
        <w:spacing w:after="0" w:line="240" w:lineRule="auto"/>
        <w:jc w:val="both"/>
        <w:rPr>
          <w:rFonts w:ascii="Arial" w:hAnsi="Arial" w:cs="Arial"/>
          <w:b/>
          <w:sz w:val="24"/>
          <w:szCs w:val="24"/>
        </w:rPr>
      </w:pPr>
      <w:r w:rsidRPr="00FA2F34">
        <w:rPr>
          <w:rFonts w:ascii="Arial" w:hAnsi="Arial" w:cs="Arial"/>
          <w:b/>
          <w:sz w:val="24"/>
          <w:szCs w:val="24"/>
        </w:rPr>
        <w:t>Comme à l’accoutumée, la CFDT va consulter ses instances pour déterminer si elle sera signataire ou non de cet accord.</w:t>
      </w:r>
    </w:p>
    <w:p w:rsidR="00BF2950" w:rsidRPr="00FA2F34" w:rsidRDefault="00BF2950" w:rsidP="00452432">
      <w:pPr>
        <w:pStyle w:val="Standard"/>
        <w:spacing w:after="0" w:line="240" w:lineRule="auto"/>
        <w:jc w:val="both"/>
        <w:rPr>
          <w:rFonts w:ascii="Arial" w:hAnsi="Arial" w:cs="Arial"/>
          <w:sz w:val="24"/>
          <w:szCs w:val="24"/>
        </w:rPr>
      </w:pPr>
      <w:r w:rsidRPr="00FA2F34">
        <w:rPr>
          <w:rFonts w:ascii="Arial" w:hAnsi="Arial" w:cs="Arial"/>
          <w:b/>
          <w:sz w:val="24"/>
          <w:szCs w:val="24"/>
        </w:rPr>
        <w:t>N’hésitez pas à contacter vos délégués syndicaux CFDT afin d’obtenir des renseignements complémentaires.</w:t>
      </w:r>
    </w:p>
    <w:sectPr w:rsidR="00BF2950" w:rsidRPr="00FA2F34" w:rsidSect="00FA2F34">
      <w:footerReference w:type="default" r:id="rId10"/>
      <w:headerReference w:type="first" r:id="rId11"/>
      <w:type w:val="continuous"/>
      <w:pgSz w:w="11906" w:h="16838"/>
      <w:pgMar w:top="567" w:right="567" w:bottom="567" w:left="567" w:header="278" w:footer="82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13DE" w:rsidRDefault="002913DE" w:rsidP="009B03CF">
      <w:pPr>
        <w:spacing w:after="0" w:line="240" w:lineRule="auto"/>
      </w:pPr>
      <w:r>
        <w:separator/>
      </w:r>
    </w:p>
  </w:endnote>
  <w:endnote w:type="continuationSeparator" w:id="0">
    <w:p w:rsidR="002913DE" w:rsidRDefault="002913DE" w:rsidP="009B03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Arial">
    <w:panose1 w:val="020B0604020202020204"/>
    <w:charset w:val="00"/>
    <w:family w:val="swiss"/>
    <w:pitch w:val="variable"/>
    <w:sig w:usb0="E0002EFF" w:usb1="C0007843" w:usb2="00000009" w:usb3="00000000" w:csb0="000001FF" w:csb1="00000000"/>
  </w:font>
  <w:font w:name="Gotham Narrow Ultra">
    <w:altName w:val="Arial"/>
    <w:panose1 w:val="00000000000000000000"/>
    <w:charset w:val="00"/>
    <w:family w:val="modern"/>
    <w:notTrueType/>
    <w:pitch w:val="variable"/>
    <w:sig w:usb0="00000001" w:usb1="4000004A" w:usb2="00000000" w:usb3="00000000" w:csb0="0000009B" w:csb1="00000000"/>
  </w:font>
  <w:font w:name="Gotham Narrow Bold">
    <w:altName w:val="Arial"/>
    <w:panose1 w:val="00000000000000000000"/>
    <w:charset w:val="00"/>
    <w:family w:val="modern"/>
    <w:notTrueType/>
    <w:pitch w:val="variable"/>
    <w:sig w:usb0="A00000FF" w:usb1="4000004A" w:usb2="00000000" w:usb3="00000000" w:csb0="0000009B"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2F34" w:rsidRPr="00107268" w:rsidRDefault="00FA2F34" w:rsidP="00FA2F34">
    <w:pPr>
      <w:pBdr>
        <w:top w:val="single" w:sz="4" w:space="1" w:color="auto"/>
        <w:left w:val="single" w:sz="4" w:space="4" w:color="auto"/>
        <w:bottom w:val="single" w:sz="4" w:space="1" w:color="auto"/>
        <w:right w:val="single" w:sz="4" w:space="4" w:color="auto"/>
      </w:pBdr>
      <w:shd w:val="clear" w:color="auto" w:fill="ED7D31"/>
      <w:spacing w:after="0" w:line="240" w:lineRule="auto"/>
      <w:jc w:val="center"/>
      <w:rPr>
        <w:rFonts w:ascii="Gotham Narrow Bold" w:eastAsia="Calibri" w:hAnsi="Gotham Narrow Bold" w:cs="Consolas"/>
        <w:color w:val="FFFFFF"/>
      </w:rPr>
    </w:pPr>
    <w:r w:rsidRPr="00107268">
      <w:rPr>
        <w:rFonts w:ascii="Gotham Narrow Bold" w:eastAsia="Calibri" w:hAnsi="Gotham Narrow Bold" w:cs="Consolas"/>
        <w:color w:val="FFFFFF"/>
      </w:rPr>
      <w:t>Délégation nationale CFDT Branche CEP</w:t>
    </w:r>
  </w:p>
  <w:p w:rsidR="00FA2F34" w:rsidRPr="00107268" w:rsidRDefault="00FA2F34" w:rsidP="00FA2F34">
    <w:pPr>
      <w:pBdr>
        <w:top w:val="single" w:sz="4" w:space="1" w:color="auto"/>
        <w:left w:val="single" w:sz="4" w:space="4" w:color="auto"/>
        <w:bottom w:val="single" w:sz="4" w:space="1" w:color="auto"/>
        <w:right w:val="single" w:sz="4" w:space="4" w:color="auto"/>
      </w:pBdr>
      <w:shd w:val="clear" w:color="auto" w:fill="ED7D31"/>
      <w:spacing w:after="0" w:line="240" w:lineRule="auto"/>
      <w:jc w:val="center"/>
      <w:rPr>
        <w:rFonts w:ascii="Gotham Narrow Bold" w:eastAsia="Calibri" w:hAnsi="Gotham Narrow Bold" w:cs="Consolas"/>
        <w:color w:val="FFFFFF"/>
      </w:rPr>
    </w:pPr>
    <w:r w:rsidRPr="00107268">
      <w:rPr>
        <w:rFonts w:ascii="Gotham Narrow Bold" w:eastAsia="Calibri" w:hAnsi="Gotham Narrow Bold" w:cs="Consolas"/>
        <w:color w:val="FFFFFF"/>
      </w:rPr>
      <w:t>27/29 rue de la Tombe Issoire 75014 PARIS</w:t>
    </w:r>
  </w:p>
  <w:p w:rsidR="00FA2F34" w:rsidRPr="00107268" w:rsidRDefault="00FA2F34" w:rsidP="00FA2F34">
    <w:pPr>
      <w:pBdr>
        <w:top w:val="single" w:sz="4" w:space="1" w:color="auto"/>
        <w:left w:val="single" w:sz="4" w:space="4" w:color="auto"/>
        <w:bottom w:val="single" w:sz="4" w:space="1" w:color="auto"/>
        <w:right w:val="single" w:sz="4" w:space="4" w:color="auto"/>
      </w:pBdr>
      <w:shd w:val="clear" w:color="auto" w:fill="ED7D31"/>
      <w:tabs>
        <w:tab w:val="center" w:pos="5386"/>
      </w:tabs>
      <w:spacing w:after="0" w:line="240" w:lineRule="auto"/>
      <w:rPr>
        <w:rFonts w:ascii="Gotham Narrow Bold" w:eastAsia="Calibri" w:hAnsi="Gotham Narrow Bold" w:cs="Consolas"/>
        <w:color w:val="FFFFFF"/>
      </w:rPr>
    </w:pPr>
    <w:r>
      <w:rPr>
        <w:rFonts w:ascii="Gotham Narrow Bold" w:eastAsia="Calibri" w:hAnsi="Gotham Narrow Bold" w:cs="Consolas"/>
        <w:color w:val="FFFFFF"/>
      </w:rPr>
      <w:tab/>
    </w:r>
    <w:r w:rsidRPr="00107268">
      <w:rPr>
        <w:rFonts w:ascii="Gotham Narrow Bold" w:eastAsia="Calibri" w:hAnsi="Gotham Narrow Bold" w:cs="Consolas"/>
        <w:color w:val="FFFFFF"/>
      </w:rPr>
      <w:t xml:space="preserve">Vos Délégués Syndicaux Nationaux : </w:t>
    </w:r>
  </w:p>
  <w:p w:rsidR="00FA2F34" w:rsidRPr="00107268" w:rsidRDefault="00FA2F34" w:rsidP="00FA2F34">
    <w:pPr>
      <w:pBdr>
        <w:top w:val="single" w:sz="4" w:space="1" w:color="auto"/>
        <w:left w:val="single" w:sz="4" w:space="4" w:color="auto"/>
        <w:bottom w:val="single" w:sz="4" w:space="1" w:color="auto"/>
        <w:right w:val="single" w:sz="4" w:space="4" w:color="auto"/>
      </w:pBdr>
      <w:shd w:val="clear" w:color="auto" w:fill="ED7D31"/>
      <w:spacing w:after="0" w:line="240" w:lineRule="auto"/>
      <w:jc w:val="center"/>
      <w:rPr>
        <w:rFonts w:ascii="Gotham Narrow Bold" w:eastAsia="Calibri" w:hAnsi="Gotham Narrow Bold" w:cs="Consolas"/>
        <w:color w:val="FFFFFF"/>
      </w:rPr>
    </w:pPr>
    <w:r w:rsidRPr="00107268">
      <w:rPr>
        <w:rFonts w:ascii="Gotham Narrow Bold" w:eastAsia="Calibri" w:hAnsi="Gotham Narrow Bold" w:cs="Consolas"/>
        <w:color w:val="FFFFFF"/>
      </w:rPr>
      <w:t>Robert EON 06 86 35 23 19 – Jean-Pierre JANAUDY 06 08 31 86 29</w:t>
    </w:r>
  </w:p>
  <w:p w:rsidR="00FA2F34" w:rsidRDefault="00FA2F34">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13DE" w:rsidRDefault="002913DE" w:rsidP="009B03CF">
      <w:pPr>
        <w:spacing w:after="0" w:line="240" w:lineRule="auto"/>
      </w:pPr>
      <w:r>
        <w:separator/>
      </w:r>
    </w:p>
  </w:footnote>
  <w:footnote w:type="continuationSeparator" w:id="0">
    <w:p w:rsidR="002913DE" w:rsidRDefault="002913DE" w:rsidP="009B03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3CF" w:rsidRPr="00912DF2" w:rsidRDefault="009B03CF" w:rsidP="009B03CF">
    <w:pPr>
      <w:pStyle w:val="En-tte"/>
      <w:rPr>
        <w:rFonts w:ascii="Arial Black" w:hAnsi="Arial Black"/>
        <w:color w:val="808080" w:themeColor="background1" w:themeShade="80"/>
        <w:sz w:val="24"/>
        <w:szCs w:val="24"/>
      </w:rPr>
    </w:pPr>
    <w:r>
      <w:rPr>
        <w:noProof/>
        <w:lang w:eastAsia="fr-FR"/>
      </w:rPr>
      <w:drawing>
        <wp:inline distT="0" distB="0" distL="0" distR="0" wp14:anchorId="5C375D8F" wp14:editId="530D2C49">
          <wp:extent cx="2713318" cy="1026661"/>
          <wp:effectExtent l="0" t="0" r="0" b="2540"/>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PCE CE.jpg"/>
                  <pic:cNvPicPr/>
                </pic:nvPicPr>
                <pic:blipFill>
                  <a:blip r:embed="rId1">
                    <a:extLst>
                      <a:ext uri="{28A0092B-C50C-407E-A947-70E740481C1C}">
                        <a14:useLocalDpi xmlns:a14="http://schemas.microsoft.com/office/drawing/2010/main" val="0"/>
                      </a:ext>
                    </a:extLst>
                  </a:blip>
                  <a:stretch>
                    <a:fillRect/>
                  </a:stretch>
                </pic:blipFill>
                <pic:spPr>
                  <a:xfrm>
                    <a:off x="0" y="0"/>
                    <a:ext cx="2729831" cy="1032909"/>
                  </a:xfrm>
                  <a:prstGeom prst="rect">
                    <a:avLst/>
                  </a:prstGeom>
                </pic:spPr>
              </pic:pic>
            </a:graphicData>
          </a:graphic>
        </wp:inline>
      </w:drawing>
    </w:r>
    <w:r>
      <w:tab/>
    </w:r>
    <w:r>
      <w:tab/>
      <w:t xml:space="preserve"> </w:t>
    </w:r>
    <w:r>
      <w:tab/>
    </w:r>
    <w:r w:rsidR="0076507C">
      <w:rPr>
        <w:rFonts w:ascii="Arial Black" w:hAnsi="Arial Black"/>
        <w:color w:val="808080" w:themeColor="background1" w:themeShade="80"/>
      </w:rPr>
      <w:t>Juillet</w:t>
    </w:r>
    <w:r w:rsidRPr="00912DF2">
      <w:rPr>
        <w:rFonts w:ascii="Arial Black" w:hAnsi="Arial Black"/>
        <w:color w:val="808080" w:themeColor="background1" w:themeShade="80"/>
      </w:rPr>
      <w:t xml:space="preserve"> 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E26B49"/>
    <w:multiLevelType w:val="multilevel"/>
    <w:tmpl w:val="CEBECB54"/>
    <w:styleLink w:val="WWNum1"/>
    <w:lvl w:ilvl="0">
      <w:start w:val="1"/>
      <w:numFmt w:val="bullet"/>
      <w:lvlText w:val=""/>
      <w:lvlJc w:val="left"/>
      <w:pPr>
        <w:ind w:left="720" w:hanging="360"/>
      </w:pPr>
      <w:rPr>
        <w:rFonts w:ascii="Wingdings" w:hAnsi="Wingdings"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0E73095C"/>
    <w:multiLevelType w:val="hybridMultilevel"/>
    <w:tmpl w:val="97505D30"/>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3500930"/>
    <w:multiLevelType w:val="multilevel"/>
    <w:tmpl w:val="29DAF590"/>
    <w:styleLink w:val="WWNum3"/>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30F67E3A"/>
    <w:multiLevelType w:val="hybridMultilevel"/>
    <w:tmpl w:val="BF606F6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42707C19"/>
    <w:multiLevelType w:val="multilevel"/>
    <w:tmpl w:val="E9749AE0"/>
    <w:styleLink w:val="WWNum2"/>
    <w:lvl w:ilvl="0">
      <w:start w:val="1"/>
      <w:numFmt w:val="bullet"/>
      <w:lvlText w:val=""/>
      <w:lvlJc w:val="left"/>
      <w:pPr>
        <w:ind w:left="720" w:hanging="360"/>
      </w:pPr>
      <w:rPr>
        <w:rFonts w:ascii="Wingdings" w:hAnsi="Wingdings"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62B20050"/>
    <w:multiLevelType w:val="hybridMultilevel"/>
    <w:tmpl w:val="EA16D20C"/>
    <w:lvl w:ilvl="0" w:tplc="44887FE4">
      <w:start w:val="1"/>
      <w:numFmt w:val="bullet"/>
      <w:lvlText w:val="-"/>
      <w:lvlJc w:val="left"/>
      <w:pPr>
        <w:ind w:left="1080" w:hanging="360"/>
      </w:pPr>
      <w:rPr>
        <w:rFonts w:ascii="Calibri" w:eastAsiaTheme="minorHAnsi"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6" w15:restartNumberingAfterBreak="0">
    <w:nsid w:val="726317B1"/>
    <w:multiLevelType w:val="hybridMultilevel"/>
    <w:tmpl w:val="B35A1DC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0"/>
  </w:num>
  <w:num w:numId="4">
    <w:abstractNumId w:val="4"/>
  </w:num>
  <w:num w:numId="5">
    <w:abstractNumId w:val="2"/>
  </w:num>
  <w:num w:numId="6">
    <w:abstractNumId w:val="2"/>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131A"/>
    <w:rsid w:val="000545C7"/>
    <w:rsid w:val="000D2002"/>
    <w:rsid w:val="00107268"/>
    <w:rsid w:val="001234EB"/>
    <w:rsid w:val="001520B5"/>
    <w:rsid w:val="00185B07"/>
    <w:rsid w:val="001C5F8B"/>
    <w:rsid w:val="001C6166"/>
    <w:rsid w:val="002903B7"/>
    <w:rsid w:val="002913DE"/>
    <w:rsid w:val="00343995"/>
    <w:rsid w:val="0038367F"/>
    <w:rsid w:val="003B131A"/>
    <w:rsid w:val="003D3670"/>
    <w:rsid w:val="00452432"/>
    <w:rsid w:val="00461EFE"/>
    <w:rsid w:val="00464830"/>
    <w:rsid w:val="00504E46"/>
    <w:rsid w:val="005C32C0"/>
    <w:rsid w:val="006A72AE"/>
    <w:rsid w:val="006B035B"/>
    <w:rsid w:val="007076D4"/>
    <w:rsid w:val="007541AF"/>
    <w:rsid w:val="0076507C"/>
    <w:rsid w:val="007851C4"/>
    <w:rsid w:val="008416E8"/>
    <w:rsid w:val="00892CCD"/>
    <w:rsid w:val="008B3235"/>
    <w:rsid w:val="009319BE"/>
    <w:rsid w:val="009A6D70"/>
    <w:rsid w:val="009A7854"/>
    <w:rsid w:val="009B03CF"/>
    <w:rsid w:val="00A26EFE"/>
    <w:rsid w:val="00A7231E"/>
    <w:rsid w:val="00A86F73"/>
    <w:rsid w:val="00AC31C7"/>
    <w:rsid w:val="00AD69B0"/>
    <w:rsid w:val="00BF2950"/>
    <w:rsid w:val="00CF00AE"/>
    <w:rsid w:val="00D431E2"/>
    <w:rsid w:val="00E406A1"/>
    <w:rsid w:val="00E62D47"/>
    <w:rsid w:val="00E64045"/>
    <w:rsid w:val="00E74F2E"/>
    <w:rsid w:val="00FA2F34"/>
    <w:rsid w:val="00FD050E"/>
    <w:rsid w:val="00FE14C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C084237-C028-49FF-914D-703EDF030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E74F2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qFormat/>
    <w:rsid w:val="003B131A"/>
    <w:pPr>
      <w:ind w:left="720"/>
      <w:contextualSpacing/>
    </w:pPr>
  </w:style>
  <w:style w:type="character" w:customStyle="1" w:styleId="Titre1Car">
    <w:name w:val="Titre 1 Car"/>
    <w:basedOn w:val="Policepardfaut"/>
    <w:link w:val="Titre1"/>
    <w:uiPriority w:val="9"/>
    <w:rsid w:val="00E74F2E"/>
    <w:rPr>
      <w:rFonts w:asciiTheme="majorHAnsi" w:eastAsiaTheme="majorEastAsia" w:hAnsiTheme="majorHAnsi" w:cstheme="majorBidi"/>
      <w:color w:val="365F91" w:themeColor="accent1" w:themeShade="BF"/>
      <w:sz w:val="32"/>
      <w:szCs w:val="32"/>
    </w:rPr>
  </w:style>
  <w:style w:type="paragraph" w:styleId="En-tte">
    <w:name w:val="header"/>
    <w:basedOn w:val="Normal"/>
    <w:link w:val="En-tteCar"/>
    <w:uiPriority w:val="99"/>
    <w:unhideWhenUsed/>
    <w:rsid w:val="009B03CF"/>
    <w:pPr>
      <w:tabs>
        <w:tab w:val="center" w:pos="4536"/>
        <w:tab w:val="right" w:pos="9072"/>
      </w:tabs>
      <w:spacing w:after="0" w:line="240" w:lineRule="auto"/>
    </w:pPr>
  </w:style>
  <w:style w:type="character" w:customStyle="1" w:styleId="En-tteCar">
    <w:name w:val="En-tête Car"/>
    <w:basedOn w:val="Policepardfaut"/>
    <w:link w:val="En-tte"/>
    <w:uiPriority w:val="99"/>
    <w:rsid w:val="009B03CF"/>
  </w:style>
  <w:style w:type="paragraph" w:styleId="Pieddepage">
    <w:name w:val="footer"/>
    <w:basedOn w:val="Normal"/>
    <w:link w:val="PieddepageCar"/>
    <w:uiPriority w:val="99"/>
    <w:unhideWhenUsed/>
    <w:rsid w:val="009B03C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B03CF"/>
  </w:style>
  <w:style w:type="paragraph" w:styleId="Textebrut">
    <w:name w:val="Plain Text"/>
    <w:basedOn w:val="Normal"/>
    <w:link w:val="TextebrutCar"/>
    <w:uiPriority w:val="99"/>
    <w:semiHidden/>
    <w:unhideWhenUsed/>
    <w:rsid w:val="00107268"/>
    <w:pPr>
      <w:spacing w:after="0" w:line="240" w:lineRule="auto"/>
    </w:pPr>
    <w:rPr>
      <w:rFonts w:ascii="Calibri" w:hAnsi="Calibri" w:cs="Consolas"/>
      <w:szCs w:val="21"/>
    </w:rPr>
  </w:style>
  <w:style w:type="character" w:customStyle="1" w:styleId="TextebrutCar">
    <w:name w:val="Texte brut Car"/>
    <w:basedOn w:val="Policepardfaut"/>
    <w:link w:val="Textebrut"/>
    <w:uiPriority w:val="99"/>
    <w:semiHidden/>
    <w:rsid w:val="00107268"/>
    <w:rPr>
      <w:rFonts w:ascii="Calibri" w:hAnsi="Calibri" w:cs="Consolas"/>
      <w:szCs w:val="21"/>
    </w:rPr>
  </w:style>
  <w:style w:type="paragraph" w:styleId="NormalWeb">
    <w:name w:val="Normal (Web)"/>
    <w:basedOn w:val="Normal"/>
    <w:uiPriority w:val="99"/>
    <w:semiHidden/>
    <w:unhideWhenUsed/>
    <w:rsid w:val="0038367F"/>
    <w:pPr>
      <w:spacing w:before="100" w:beforeAutospacing="1" w:after="100" w:afterAutospacing="1" w:line="240" w:lineRule="auto"/>
    </w:pPr>
    <w:rPr>
      <w:rFonts w:ascii="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6B035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B035B"/>
    <w:rPr>
      <w:rFonts w:ascii="Segoe UI" w:hAnsi="Segoe UI" w:cs="Segoe UI"/>
      <w:sz w:val="18"/>
      <w:szCs w:val="18"/>
    </w:rPr>
  </w:style>
  <w:style w:type="paragraph" w:customStyle="1" w:styleId="Standard">
    <w:name w:val="Standard"/>
    <w:rsid w:val="0076507C"/>
    <w:pPr>
      <w:suppressAutoHyphens/>
      <w:autoSpaceDN w:val="0"/>
      <w:spacing w:after="160" w:line="259" w:lineRule="auto"/>
      <w:textAlignment w:val="baseline"/>
    </w:pPr>
    <w:rPr>
      <w:rFonts w:ascii="Calibri" w:eastAsia="SimSun" w:hAnsi="Calibri" w:cs="F"/>
      <w:kern w:val="3"/>
    </w:rPr>
  </w:style>
  <w:style w:type="numbering" w:customStyle="1" w:styleId="WWNum1">
    <w:name w:val="WWNum1"/>
    <w:basedOn w:val="Aucuneliste"/>
    <w:rsid w:val="0076507C"/>
    <w:pPr>
      <w:numPr>
        <w:numId w:val="3"/>
      </w:numPr>
    </w:pPr>
  </w:style>
  <w:style w:type="numbering" w:customStyle="1" w:styleId="WWNum2">
    <w:name w:val="WWNum2"/>
    <w:basedOn w:val="Aucuneliste"/>
    <w:rsid w:val="0076507C"/>
    <w:pPr>
      <w:numPr>
        <w:numId w:val="4"/>
      </w:numPr>
    </w:pPr>
  </w:style>
  <w:style w:type="numbering" w:customStyle="1" w:styleId="WWNum3">
    <w:name w:val="WWNum3"/>
    <w:basedOn w:val="Aucuneliste"/>
    <w:rsid w:val="0076507C"/>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4311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jp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498</Words>
  <Characters>2745</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GCE Tech</Company>
  <LinksUpToDate>false</LinksUpToDate>
  <CharactersWithSpaces>3237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A6703219</dc:creator>
  <cp:lastModifiedBy>Admin</cp:lastModifiedBy>
  <cp:revision>2</cp:revision>
  <cp:lastPrinted>2016-07-16T13:57:00Z</cp:lastPrinted>
  <dcterms:created xsi:type="dcterms:W3CDTF">2016-07-19T14:07:00Z</dcterms:created>
  <dcterms:modified xsi:type="dcterms:W3CDTF">2016-07-19T14:07:00Z</dcterms:modified>
</cp:coreProperties>
</file>